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sz w:val="24"/>
          <w:szCs w:val="24"/>
        </w:rPr>
      </w:pPr>
      <w:r>
        <w:rPr>
          <w:rFonts w:eastAsia="Times New Roman" w:cs="Times New Roman" w:ascii="Times New Roman" w:hAnsi="Times New Roman"/>
          <w:b/>
          <w:bCs/>
          <w:color w:val="000000"/>
          <w:sz w:val="24"/>
          <w:szCs w:val="24"/>
          <w:lang w:eastAsia="ru-RU"/>
        </w:rPr>
        <w:t xml:space="preserve">Информация о целевых индикаторах государственной программы </w:t>
      </w:r>
      <w:r>
        <w:rPr>
          <w:rFonts w:cs="Times New Roman" w:ascii="Times New Roman" w:hAnsi="Times New Roman"/>
          <w:b/>
          <w:sz w:val="24"/>
          <w:szCs w:val="24"/>
        </w:rPr>
        <w:t xml:space="preserve">Республики Тыва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«Повышение эффективности и надежности функционирования жилищно-коммунального хозяйства Республики Тыва на 2014-202</w:t>
      </w:r>
      <w:r>
        <w:rPr>
          <w:rFonts w:cs="Times New Roman" w:ascii="Times New Roman" w:hAnsi="Times New Roman"/>
          <w:b/>
          <w:color w:val="000000" w:themeColor="text1"/>
          <w:sz w:val="24"/>
          <w:szCs w:val="24"/>
        </w:rPr>
        <w:t>5</w:t>
      </w:r>
      <w:r>
        <w:rPr>
          <w:rFonts w:cs="Times New Roman" w:ascii="Times New Roman" w:hAnsi="Times New Roman"/>
          <w:b/>
          <w:sz w:val="24"/>
          <w:szCs w:val="24"/>
        </w:rPr>
        <w:t xml:space="preserve"> годы </w:t>
      </w:r>
      <w:r>
        <w:rPr>
          <w:rFonts w:eastAsia="Times New Roman" w:cs="Times New Roman" w:ascii="Times New Roman" w:hAnsi="Times New Roman"/>
          <w:b/>
          <w:bCs/>
          <w:color w:val="000000"/>
          <w:sz w:val="24"/>
          <w:szCs w:val="24"/>
          <w:lang w:eastAsia="ru-RU"/>
        </w:rPr>
        <w:t>по состоянию на 1 июля 2023 г.</w:t>
      </w:r>
      <w:bookmarkStart w:id="0" w:name="_GoBack"/>
      <w:bookmarkEnd w:id="0"/>
    </w:p>
    <w:tbl>
      <w:tblPr>
        <w:tblStyle w:val="aa"/>
        <w:tblW w:w="15169"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2102"/>
        <w:gridCol w:w="675"/>
        <w:gridCol w:w="806"/>
        <w:gridCol w:w="789"/>
        <w:gridCol w:w="731"/>
        <w:gridCol w:w="749"/>
        <w:gridCol w:w="845"/>
        <w:gridCol w:w="731"/>
        <w:gridCol w:w="5995"/>
        <w:gridCol w:w="1127"/>
      </w:tblGrid>
      <w:tr>
        <w:trPr/>
        <w:tc>
          <w:tcPr>
            <w:tcW w:w="617" w:type="dxa"/>
            <w:vMerge w:val="restart"/>
            <w:tcBorders/>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kern w:val="0"/>
                <w:sz w:val="24"/>
                <w:szCs w:val="24"/>
                <w:lang w:val="ru-RU" w:eastAsia="ru-RU" w:bidi="ar-SA"/>
              </w:rPr>
              <w:t xml:space="preserve">№ </w:t>
            </w:r>
            <w:r>
              <w:rPr>
                <w:rFonts w:eastAsia="Times New Roman" w:cs="Times New Roman" w:ascii="Times New Roman" w:hAnsi="Times New Roman"/>
                <w:b/>
                <w:bCs/>
                <w:kern w:val="0"/>
                <w:sz w:val="24"/>
                <w:szCs w:val="24"/>
                <w:lang w:val="ru-RU" w:eastAsia="ru-RU" w:bidi="ar-SA"/>
              </w:rPr>
              <w:t>п/п</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102" w:type="dxa"/>
            <w:vMerge w:val="restart"/>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Целевые индикаторы</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Ед. измерения</w:t>
            </w:r>
          </w:p>
        </w:tc>
        <w:tc>
          <w:tcPr>
            <w:tcW w:w="1595" w:type="dxa"/>
            <w:gridSpan w:val="2"/>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2022 год</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 исполнения</w:t>
            </w:r>
          </w:p>
        </w:tc>
        <w:tc>
          <w:tcPr>
            <w:tcW w:w="1594" w:type="dxa"/>
            <w:gridSpan w:val="2"/>
            <w:tcBorders/>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kern w:val="0"/>
                <w:sz w:val="24"/>
                <w:szCs w:val="24"/>
                <w:lang w:val="ru-RU" w:eastAsia="ru-RU" w:bidi="ar-SA"/>
              </w:rPr>
              <w:t>2023 год</w:t>
            </w:r>
          </w:p>
        </w:tc>
        <w:tc>
          <w:tcPr>
            <w:tcW w:w="731"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kern w:val="0"/>
                <w:sz w:val="24"/>
                <w:szCs w:val="24"/>
                <w:lang w:val="ru-RU" w:eastAsia="ru-RU" w:bidi="ar-SA"/>
              </w:rPr>
              <w:t>% исполнения</w:t>
            </w:r>
          </w:p>
        </w:tc>
        <w:tc>
          <w:tcPr>
            <w:tcW w:w="599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Примечание (причины не достижения, факторы увеличения)</w:t>
            </w:r>
          </w:p>
        </w:tc>
        <w:tc>
          <w:tcPr>
            <w:tcW w:w="112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Отв. исполнители</w:t>
            </w:r>
          </w:p>
        </w:tc>
      </w:tr>
      <w:tr>
        <w:trPr/>
        <w:tc>
          <w:tcPr>
            <w:tcW w:w="617" w:type="dxa"/>
            <w:vMerge w:val="continue"/>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102" w:type="dxa"/>
            <w:vMerge w:val="continue"/>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план</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факт</w:t>
            </w:r>
          </w:p>
        </w:tc>
        <w:tc>
          <w:tcPr>
            <w:tcW w:w="731"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2"/>
                <w:szCs w:val="24"/>
                <w:lang w:eastAsia="ru-RU"/>
              </w:rPr>
            </w:r>
          </w:p>
        </w:tc>
        <w:tc>
          <w:tcPr>
            <w:tcW w:w="749"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kern w:val="0"/>
                <w:sz w:val="24"/>
                <w:szCs w:val="24"/>
                <w:lang w:val="ru-RU" w:eastAsia="ru-RU" w:bidi="ar-SA"/>
              </w:rPr>
              <w:t>план</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kern w:val="0"/>
                <w:sz w:val="24"/>
                <w:szCs w:val="24"/>
                <w:lang w:val="ru-RU" w:eastAsia="ru-RU" w:bidi="ar-SA"/>
              </w:rPr>
              <w:t>факт</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9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12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Обновление технической базы предприятий жилищно-коммунального хозяйства специализированной техникой</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95" w:type="dxa"/>
            <w:tcBorders/>
          </w:tcPr>
          <w:p>
            <w:pPr>
              <w:pStyle w:val="Normal"/>
              <w:widowControl w:val="false"/>
              <w:suppressAutoHyphens w:val="true"/>
              <w:bidi w:val="0"/>
              <w:spacing w:lineRule="auto" w:line="240" w:before="0" w:after="0"/>
              <w:jc w:val="left"/>
              <w:rPr>
                <w:rFonts w:ascii="Times New Roman" w:hAnsi="Times New Roman" w:cs="Times New Roman"/>
                <w:sz w:val="24"/>
                <w:szCs w:val="24"/>
              </w:rPr>
            </w:pPr>
            <w:r>
              <w:rPr>
                <w:rFonts w:cs="Times New Roman" w:ascii="Times New Roman" w:hAnsi="Times New Roman"/>
                <w:b w:val="false"/>
                <w:i w:val="false"/>
                <w:strike w:val="false"/>
                <w:dstrike w:val="false"/>
                <w:outline w:val="false"/>
                <w:shadow w:val="false"/>
                <w:color w:val="auto"/>
                <w:sz w:val="18"/>
                <w:szCs w:val="24"/>
                <w:u w:val="none"/>
                <w:em w:val="none"/>
              </w:rPr>
              <w:t>На предусмотренный объем финансирования в 2023 г. и на плановый период 2024-2025 гг. на сумму 52 600,0 тыс. рублей планируется приобретение 6 фронтальных погрузчиков и 6 самосвалов КАМАЗ 53605-А5 для угольных складов в лизинг. 29 июня 2023 года заключен контракт АО «Сберлизинг». Ориентировочный срок доставки спецтехники до 31 июля 2023 г.</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127" w:type="dxa"/>
            <w:vMerge w:val="restart"/>
            <w:tcBorders/>
          </w:tcPr>
          <w:p>
            <w:pPr>
              <w:pStyle w:val="Normal"/>
              <w:widowControl w:val="false"/>
              <w:suppressAutoHyphens w:val="true"/>
              <w:spacing w:lineRule="auto" w:line="240" w:before="0" w:after="0"/>
              <w:jc w:val="center"/>
              <w:rPr>
                <w:kern w:val="0"/>
                <w:sz w:val="22"/>
                <w:szCs w:val="22"/>
                <w:lang w:val="ru-RU" w:bidi="ar-SA"/>
              </w:rPr>
            </w:pPr>
            <w:r>
              <w:rPr>
                <w:rFonts w:eastAsia="Times New Roman" w:cs="Times New Roman" w:ascii="Times New Roman" w:hAnsi="Times New Roman"/>
                <w:bCs/>
                <w:color w:val="000000"/>
                <w:kern w:val="0"/>
                <w:sz w:val="22"/>
                <w:szCs w:val="22"/>
                <w:lang w:val="ru-RU" w:eastAsia="ru-RU" w:bidi="ar-SA"/>
              </w:rPr>
              <w:t>Мин ЖКХ РТ</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Сохранение рабочих мест в действующих малых котельных и водоснабжающих организациях</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604</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604</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604</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546</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w:t>
            </w:r>
          </w:p>
        </w:tc>
        <w:tc>
          <w:tcPr>
            <w:tcW w:w="5995" w:type="dxa"/>
            <w:tcBorders/>
          </w:tcPr>
          <w:p>
            <w:pPr>
              <w:pStyle w:val="Normal"/>
              <w:widowControl w:val="false"/>
              <w:suppressAutoHyphens w:val="true"/>
              <w:spacing w:lineRule="auto" w:line="240" w:before="0" w:after="0"/>
              <w:ind w:hanging="0"/>
              <w:jc w:val="both"/>
              <w:rPr>
                <w:rFonts w:ascii="Times New Roman" w:hAnsi="Times New Roman" w:cs="Times New Roman"/>
                <w:sz w:val="18"/>
                <w:szCs w:val="18"/>
              </w:rPr>
            </w:pPr>
            <w:r>
              <w:rPr>
                <w:rFonts w:eastAsia="Calibri" w:cs="Times New Roman" w:ascii="Times New Roman" w:hAnsi="Times New Roman" w:eastAsiaTheme="minorHAnsi"/>
                <w:sz w:val="18"/>
                <w:szCs w:val="18"/>
                <w:shd w:fill="auto" w:val="clear"/>
              </w:rPr>
              <w:t>Показатели снизились до 546 единиц по официальной статистике среднесписочная численность работников малых котельных и водоснабжающих организаций составляет 546 человек.</w:t>
            </w:r>
          </w:p>
        </w:tc>
        <w:tc>
          <w:tcPr>
            <w:tcW w:w="1127" w:type="dxa"/>
            <w:vMerge w:val="continue"/>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102" w:type="dxa"/>
            <w:tcBorders/>
          </w:tcPr>
          <w:p>
            <w:pPr>
              <w:pStyle w:val="Normal"/>
              <w:widowControl w:val="false"/>
              <w:suppressAutoHyphens w:val="true"/>
              <w:spacing w:lineRule="auto" w:line="240" w:before="0" w:after="0"/>
              <w:jc w:val="left"/>
              <w:rPr>
                <w:rFonts w:eastAsia="Calibri"/>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Повышение обеспеченности подачи воды на хозяйственно-питьевые нужды (строительство водозаборных скважин с зданием для хранения воды)</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5995" w:type="dxa"/>
            <w:vMerge w:val="restart"/>
            <w:tcBorders/>
          </w:tcPr>
          <w:p>
            <w:pPr>
              <w:pStyle w:val="Normal"/>
              <w:widowControl w:val="false"/>
              <w:suppressAutoHyphens w:val="true"/>
              <w:bidi w:val="0"/>
              <w:spacing w:lineRule="auto" w:line="240" w:before="0" w:after="0"/>
              <w:jc w:val="left"/>
              <w:rPr>
                <w:rFonts w:ascii="Times New Roman" w:hAnsi="Times New Roman" w:cs="Times New Roman"/>
                <w:sz w:val="18"/>
                <w:szCs w:val="18"/>
              </w:rPr>
            </w:pPr>
            <w:r>
              <w:rPr>
                <w:rFonts w:cs="Times New Roman" w:ascii="PT Astra Serif" w:hAnsi="PT Astra Serif"/>
                <w:b w:val="false"/>
                <w:i w:val="false"/>
                <w:strike w:val="false"/>
                <w:dstrike w:val="false"/>
                <w:outline w:val="false"/>
                <w:shadow w:val="false"/>
                <w:color w:val="auto"/>
                <w:sz w:val="18"/>
                <w:szCs w:val="18"/>
                <w:u w:val="none"/>
                <w:em w:val="none"/>
              </w:rPr>
              <w:t>В</w:t>
            </w:r>
            <w:r>
              <w:rPr>
                <w:rFonts w:ascii="PT Astra Serif" w:hAnsi="PT Astra Serif"/>
                <w:b w:val="false"/>
                <w:i w:val="false"/>
                <w:strike w:val="false"/>
                <w:dstrike w:val="false"/>
                <w:outline w:val="false"/>
                <w:shadow w:val="false"/>
                <w:color w:val="auto"/>
                <w:sz w:val="18"/>
                <w:u w:val="none"/>
                <w:em w:val="none"/>
              </w:rPr>
              <w:t xml:space="preserve"> 2023 году будет осуществлено строительство локальных систем водоснабжения в 7 муниципальных образованиях Республики Тыва (Барун-Хемчикском, Дзун-Хемчикском, Кызылском, Тес-Хемском, Улуг-Хемском, Эрзинском кожуунах и г. Кызыл) в количестве 21 единиц на сумму 11 242,9 тыс. рублей, из них РБ – 7 870,0 тыс. рублей, МБ – 3 372,9 тыс. рублей. Заключены соглашения с муниципальными образованиями о предоставлении субсидии на реконструкции и строительство локальных систем водоснабжения.</w:t>
            </w:r>
          </w:p>
          <w:p>
            <w:pPr>
              <w:pStyle w:val="Normal"/>
              <w:widowControl w:val="false"/>
              <w:bidi w:val="0"/>
              <w:jc w:val="left"/>
              <w:rPr>
                <w:rFonts w:ascii="Times New Roman" w:hAnsi="Times New Roman" w:cs="Times New Roman"/>
                <w:sz w:val="18"/>
                <w:szCs w:val="18"/>
              </w:rPr>
            </w:pPr>
            <w:r>
              <w:rPr>
                <w:rFonts w:ascii="PT Astra Serif" w:hAnsi="PT Astra Serif"/>
                <w:b w:val="false"/>
                <w:i w:val="false"/>
                <w:strike w:val="false"/>
                <w:dstrike w:val="false"/>
                <w:outline w:val="false"/>
                <w:shadow w:val="false"/>
                <w:color w:val="auto"/>
                <w:sz w:val="18"/>
                <w:u w:val="none"/>
                <w:em w:val="none"/>
              </w:rPr>
              <w:t>В связи с уточнением бюджета внесены изменения  на уменьшение сумм соглашений, заключив дополнительные соглашения с муниципальными образованиями. Подана заявка в Министерство финансов Республики Тыва с учетом внесенных изменений. Параллельно с этим муниципальные образования проводят закупочные процедуры.</w:t>
            </w:r>
          </w:p>
          <w:p>
            <w:pPr>
              <w:pStyle w:val="Normal"/>
              <w:widowControl w:val="false"/>
              <w:bidi w:val="0"/>
              <w:spacing w:before="0" w:after="160"/>
              <w:jc w:val="left"/>
              <w:rPr>
                <w:rFonts w:ascii="Times New Roman" w:hAnsi="Times New Roman" w:cs="Times New Roman"/>
                <w:sz w:val="18"/>
                <w:szCs w:val="18"/>
              </w:rPr>
            </w:pPr>
            <w:r>
              <w:rPr>
                <w:rFonts w:ascii="PT Astra Serif" w:hAnsi="PT Astra Serif"/>
                <w:b w:val="false"/>
                <w:i w:val="false"/>
                <w:strike w:val="false"/>
                <w:dstrike w:val="false"/>
                <w:outline w:val="false"/>
                <w:shadow w:val="false"/>
                <w:color w:val="auto"/>
                <w:sz w:val="18"/>
                <w:u w:val="none"/>
                <w:em w:val="none"/>
              </w:rPr>
              <w:t xml:space="preserve">Субсидия перечислена на расчетные счета Тес-Хемского, Эрзинского, Улуг-Хемского, Барун-Хемчикского и Кызылского кожуунов, согласно заключенных соглашений. По состоянию на 01.07.2023г. в Барун-Хемчикском кожууне пробурены и установлены 5 скважин т. е. 100%, в Эрзинском кожууне пробурены и установлены </w:t>
            </w:r>
            <w:r>
              <w:rPr>
                <w:rFonts w:ascii="PT Astra Serif" w:hAnsi="PT Astra Serif"/>
                <w:b w:val="false"/>
                <w:i w:val="false"/>
                <w:strike w:val="false"/>
                <w:dstrike w:val="false"/>
                <w:outline w:val="false"/>
                <w:shadow w:val="false"/>
                <w:color w:val="auto"/>
                <w:sz w:val="18"/>
                <w:u w:val="none"/>
                <w:em w:val="none"/>
              </w:rPr>
              <w:t>6</w:t>
            </w:r>
            <w:r>
              <w:rPr>
                <w:rFonts w:ascii="PT Astra Serif" w:hAnsi="PT Astra Serif"/>
                <w:b w:val="false"/>
                <w:i w:val="false"/>
                <w:strike w:val="false"/>
                <w:dstrike w:val="false"/>
                <w:outline w:val="false"/>
                <w:shadow w:val="false"/>
                <w:color w:val="auto"/>
                <w:sz w:val="18"/>
                <w:u w:val="none"/>
                <w:em w:val="none"/>
              </w:rPr>
              <w:t xml:space="preserve"> скважины т. е.</w:t>
            </w:r>
            <w:r>
              <w:rPr>
                <w:rFonts w:ascii="PT Astra Serif" w:hAnsi="PT Astra Serif"/>
                <w:b w:val="false"/>
                <w:i w:val="false"/>
                <w:strike w:val="false"/>
                <w:dstrike w:val="false"/>
                <w:outline w:val="false"/>
                <w:shadow w:val="false"/>
                <w:color w:val="auto"/>
                <w:sz w:val="18"/>
                <w:u w:val="none"/>
                <w:em w:val="none"/>
              </w:rPr>
              <w:t>100</w:t>
            </w:r>
            <w:r>
              <w:rPr>
                <w:rFonts w:ascii="PT Astra Serif" w:hAnsi="PT Astra Serif"/>
                <w:b w:val="false"/>
                <w:i w:val="false"/>
                <w:strike w:val="false"/>
                <w:dstrike w:val="false"/>
                <w:outline w:val="false"/>
                <w:shadow w:val="false"/>
                <w:color w:val="auto"/>
                <w:sz w:val="18"/>
                <w:u w:val="none"/>
                <w:em w:val="none"/>
              </w:rPr>
              <w:t>7%. В Дзун-Хемчикском, Кызылском районах и городе Кызыле идут закупочные процедуры.</w:t>
            </w:r>
          </w:p>
        </w:tc>
        <w:tc>
          <w:tcPr>
            <w:tcW w:w="1127" w:type="dxa"/>
            <w:vMerge w:val="continue"/>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строительство локальных систем водоснабжения</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5995" w:type="dxa"/>
            <w:vMerge w:val="continue"/>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127" w:type="dxa"/>
            <w:vMerge w:val="continue"/>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реконструкция локальных систем водоснабжения</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0</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95" w:type="dxa"/>
            <w:vMerge w:val="continue"/>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127" w:type="dxa"/>
            <w:vMerge w:val="continue"/>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Создание рабочих мест</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153</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156</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102</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174</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9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127" w:type="dxa"/>
            <w:tcBorders/>
          </w:tcPr>
          <w:p>
            <w:pPr>
              <w:pStyle w:val="Normal"/>
              <w:widowControl w:val="false"/>
              <w:suppressAutoHyphens w:val="true"/>
              <w:spacing w:lineRule="auto" w:line="240" w:before="0" w:after="0"/>
              <w:jc w:val="left"/>
              <w:rPr>
                <w:rFonts w:ascii="Calibri" w:hAnsi="Calibri" w:eastAsia="Calibri"/>
              </w:rPr>
            </w:pPr>
            <w:r>
              <w:rPr>
                <w:rFonts w:eastAsia="Times New Roman" w:cs="Times New Roman" w:ascii="Times New Roman" w:hAnsi="Times New Roman"/>
                <w:bCs/>
                <w:color w:val="000000"/>
                <w:kern w:val="0"/>
                <w:sz w:val="22"/>
                <w:szCs w:val="22"/>
                <w:lang w:val="ru-RU" w:eastAsia="ru-RU" w:bidi="ar-SA"/>
              </w:rPr>
              <w:t xml:space="preserve">Мин ЖКХ РТ, </w:t>
            </w:r>
            <w:r>
              <w:rPr>
                <w:rFonts w:eastAsia="Calibri" w:cs="" w:ascii="PT Astra Serif" w:hAnsi="PT Astra Serif"/>
                <w:bCs/>
                <w:color w:val="000000"/>
                <w:kern w:val="0"/>
                <w:sz w:val="24"/>
                <w:szCs w:val="24"/>
                <w:lang w:val="ru-RU" w:eastAsia="en-US" w:bidi="ar-SA"/>
              </w:rPr>
              <w:t>Минстрой РТ</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Строительство и обустройство угольных складов</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5995" w:type="dxa"/>
            <w:tcBorders/>
          </w:tcPr>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xml:space="preserve">В 2023 году запланировано </w:t>
            </w:r>
            <w:r>
              <w:rPr>
                <w:rFonts w:ascii="PT Astra Serif" w:hAnsi="PT Astra Serif"/>
                <w:b/>
                <w:bCs/>
                <w:i/>
                <w:iCs/>
                <w:strike w:val="false"/>
                <w:dstrike w:val="false"/>
                <w:outline w:val="false"/>
                <w:shadow w:val="false"/>
                <w:sz w:val="18"/>
                <w:szCs w:val="18"/>
                <w:u w:val="none"/>
                <w:em w:val="none"/>
              </w:rPr>
              <w:t>строительство нового топливного (угольного) склада</w:t>
            </w:r>
            <w:r>
              <w:rPr>
                <w:rFonts w:ascii="PT Astra Serif" w:hAnsi="PT Astra Serif"/>
                <w:b/>
                <w:bCs/>
                <w:i w:val="false"/>
                <w:strike w:val="false"/>
                <w:dstrike w:val="false"/>
                <w:outline w:val="false"/>
                <w:shadow w:val="false"/>
                <w:sz w:val="18"/>
                <w:szCs w:val="18"/>
                <w:u w:val="none"/>
                <w:em w:val="none"/>
              </w:rPr>
              <w:t xml:space="preserve"> </w:t>
            </w:r>
            <w:r>
              <w:rPr>
                <w:rFonts w:ascii="PT Astra Serif" w:hAnsi="PT Astra Serif"/>
                <w:b w:val="false"/>
                <w:i w:val="false"/>
                <w:strike w:val="false"/>
                <w:dstrike w:val="false"/>
                <w:outline w:val="false"/>
                <w:shadow w:val="false"/>
                <w:sz w:val="18"/>
                <w:szCs w:val="18"/>
                <w:u w:val="none"/>
                <w:em w:val="none"/>
              </w:rPr>
              <w:t xml:space="preserve">в 2023 году в Сут-Хольском кожууне и </w:t>
            </w:r>
            <w:r>
              <w:rPr>
                <w:rFonts w:ascii="PT Astra Serif" w:hAnsi="PT Astra Serif"/>
                <w:b/>
                <w:bCs/>
                <w:i w:val="false"/>
                <w:strike w:val="false"/>
                <w:dstrike w:val="false"/>
                <w:outline w:val="false"/>
                <w:shadow w:val="false"/>
                <w:sz w:val="18"/>
                <w:szCs w:val="18"/>
                <w:u w:val="none"/>
                <w:em w:val="none"/>
              </w:rPr>
              <w:t>обустройство</w:t>
            </w:r>
            <w:r>
              <w:rPr>
                <w:rFonts w:ascii="PT Astra Serif" w:hAnsi="PT Astra Serif"/>
                <w:b w:val="false"/>
                <w:i w:val="false"/>
                <w:strike w:val="false"/>
                <w:dstrike w:val="false"/>
                <w:outline w:val="false"/>
                <w:shadow w:val="false"/>
                <w:sz w:val="18"/>
                <w:szCs w:val="18"/>
                <w:u w:val="none"/>
                <w:em w:val="none"/>
              </w:rPr>
              <w:t xml:space="preserve"> 5 существующих топливных (угольных) складов в с. Сарыг-Сеп; с. Чаа-Холь; гг. Туран, Шагонар, Чадан с объемом финансирования из республиканского бюджета на 62804,0 тыс. рублей. Кассовое освоение </w:t>
            </w:r>
            <w:r>
              <w:rPr>
                <w:rFonts w:cs="Times New Roman;serif" w:ascii="Times New Roman;serif" w:hAnsi="Times New Roman;serif"/>
                <w:b w:val="false"/>
                <w:i w:val="false"/>
                <w:strike w:val="false"/>
                <w:dstrike w:val="false"/>
                <w:outline w:val="false"/>
                <w:shadow w:val="false"/>
                <w:color w:val="000000"/>
                <w:sz w:val="18"/>
                <w:szCs w:val="18"/>
                <w:u w:val="none"/>
                <w:shd w:fill="FFFFFF" w:val="clear"/>
                <w:em w:val="none"/>
              </w:rPr>
              <w:t xml:space="preserve">составляет 12 313,7 тыс. рублей. Заключены договора на поставку строительных материалов, выполнение работ, монтаж систем видеонаблюдения, поставку и монтаж весового оборудования. </w:t>
            </w:r>
            <w:r>
              <w:rPr>
                <w:rFonts w:cs="Times New Roman;serif" w:ascii="PT Astra Serif" w:hAnsi="PT Astra Serif"/>
                <w:b w:val="false"/>
                <w:i w:val="false"/>
                <w:strike w:val="false"/>
                <w:dstrike w:val="false"/>
                <w:outline w:val="false"/>
                <w:shadow w:val="false"/>
                <w:color w:val="000000"/>
                <w:sz w:val="18"/>
                <w:szCs w:val="18"/>
                <w:u w:val="none"/>
                <w:shd w:fill="FFFFFF" w:val="clear"/>
                <w:em w:val="none"/>
              </w:rPr>
              <w:t>В соответствии с договорами монтаж систем видеонаблюдения будет производиться одновременно на всех топливных складах по мере их готовности.</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24 мая 2023 года заключен контракт на приобретение нового весового оборудования для взвешивания грузовых автомобилей с полным заездом в Чадан и модернизация весового оборудования в остальных муниципальных образованиях. Ориентировочная доставка весового оборудования до конца июля 2023 г.</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По состоянию на 1 июля 2023 г. выполнены следующие работы:</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по строительству нового топливного (угольного) склада в Сут-Хольском кожууне - земельный участок выделен и оформлен в установленном порядке, обустроено наружное ограждение территории топливного склада, обеспечено технологическое присоединение и подключение к электроснабжению принимающих устройств склада. Ведутся ремонтные работы производственного помещения, подготовлена площадка для монтажа весового оборудования. Обустроено ограждение общей протяженностью 269 погонных метров, с устройством колючей проволоки «Егоза» объемом 231 метр. По периметру земельного участка установлено 6 столбов с прожекторами и 2 прожектора на помещении гаража. Будет установлено весовое оборудование, приобретенное в 2022 году.</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по обустройству 5 существующих топливных (угольных) складов:</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в г. Туран и с. Сарыг-Сеп земельные участки выделены и оформлены в установленном порядке, обустроено наружное ограждение территории топливного склада, обеспечено технологическое присоединение и подключение к электроснабжению принимающих устройств склада. Ведутся ремонтные работы производственного помещения, подготовлена площадка для монтажа весового оборудования.</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в г. Шагонаре срок действующего договора аренды топливного склада с третьим лицом истекает в конце августа 2023 г., нет доступа на территорию склада, к ремонтным работам возможно будет приступить не ранее 01.09.2023 г.</w:t>
            </w:r>
          </w:p>
          <w:p>
            <w:pPr>
              <w:pStyle w:val="Normal"/>
              <w:widowControl w:val="false"/>
              <w:bidi w:val="0"/>
              <w:ind w:left="0" w:right="0" w:firstLine="567"/>
              <w:jc w:val="both"/>
              <w:rPr>
                <w:rFonts w:ascii="PT Astra Serif" w:hAnsi="PT Astra Serif"/>
                <w:sz w:val="18"/>
                <w:szCs w:val="18"/>
              </w:rPr>
            </w:pPr>
            <w:r>
              <w:rPr>
                <w:rFonts w:ascii="PT Astra Serif" w:hAnsi="PT Astra Serif"/>
                <w:b w:val="false"/>
                <w:i w:val="false"/>
                <w:strike w:val="false"/>
                <w:dstrike w:val="false"/>
                <w:outline w:val="false"/>
                <w:shadow w:val="false"/>
                <w:sz w:val="18"/>
                <w:szCs w:val="18"/>
                <w:u w:val="none"/>
                <w:em w:val="none"/>
              </w:rPr>
              <w:t>- в г. Чадана земельный участок топливного склада передан в республиканскую собственность 26 июня 2023 г. На текущий момент приступили к выполнению ремонтных работ.</w:t>
            </w:r>
          </w:p>
          <w:p>
            <w:pPr>
              <w:pStyle w:val="Normal"/>
              <w:widowControl w:val="false"/>
              <w:suppressAutoHyphens w:val="true"/>
              <w:bidi w:val="0"/>
              <w:spacing w:lineRule="auto" w:line="240" w:before="0" w:after="0"/>
              <w:ind w:left="0" w:right="0" w:firstLine="567"/>
              <w:jc w:val="both"/>
              <w:rPr>
                <w:sz w:val="18"/>
                <w:szCs w:val="18"/>
              </w:rPr>
            </w:pPr>
            <w:r>
              <w:rPr>
                <w:rFonts w:cs="Times New Roman" w:ascii="PT Astra Serif" w:hAnsi="PT Astra Serif"/>
                <w:b w:val="false"/>
                <w:i w:val="false"/>
                <w:strike w:val="false"/>
                <w:dstrike w:val="false"/>
                <w:outline w:val="false"/>
                <w:shadow w:val="false"/>
                <w:sz w:val="18"/>
                <w:szCs w:val="18"/>
                <w:u w:val="none"/>
                <w:em w:val="none"/>
              </w:rPr>
              <w:t>- в с. Чаа-Хол срок действующего договора аренды топливного склада с третьим лицом истекает в 2026 г. Досрочное расторжение договора аренды с существующим арендатором не представляется возможным, по причине отказа арендатора. По состоянию на 29.06.2023 г. земельный участок под размещение топливного склада ГУП «ТСП» не передан, доступ на территорию склада для выполнения ремонтных работ не предоставлен. Исходя из этого, к ремонтным работам приступить невозможно.</w:t>
            </w:r>
          </w:p>
        </w:tc>
        <w:tc>
          <w:tcPr>
            <w:tcW w:w="1127" w:type="dxa"/>
            <w:vMerge w:val="restart"/>
            <w:tcBorders/>
          </w:tcPr>
          <w:p>
            <w:pPr>
              <w:pStyle w:val="Normal"/>
              <w:widowControl w:val="false"/>
              <w:suppressAutoHyphens w:val="true"/>
              <w:spacing w:lineRule="auto" w:line="240" w:before="0" w:after="0"/>
              <w:jc w:val="center"/>
              <w:rPr>
                <w:rFonts w:ascii="Calibri" w:hAnsi="Calibri" w:eastAsia="Calibri"/>
              </w:rPr>
            </w:pPr>
            <w:r>
              <w:rPr>
                <w:rFonts w:eastAsia="Times New Roman" w:cs="Times New Roman" w:ascii="Times New Roman" w:hAnsi="Times New Roman"/>
                <w:bCs/>
                <w:color w:val="000000"/>
                <w:kern w:val="0"/>
                <w:sz w:val="22"/>
                <w:szCs w:val="22"/>
                <w:lang w:val="ru-RU" w:eastAsia="ru-RU" w:bidi="ar-SA"/>
              </w:rPr>
              <w:t>Мин ЖКХ РТ</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Times New Roman" w:hAnsi="Times New Roman"/>
                <w:b w:val="false"/>
                <w:bCs w:val="false"/>
                <w:kern w:val="0"/>
                <w:sz w:val="24"/>
                <w:szCs w:val="24"/>
                <w:lang w:val="ru-RU" w:eastAsia="en-US" w:bidi="ar-SA"/>
              </w:rPr>
              <w:t>Ликвидация стихийных свалок в муниципальных образованиях</w:t>
            </w:r>
          </w:p>
        </w:tc>
        <w:tc>
          <w:tcPr>
            <w:tcW w:w="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ед.</w:t>
            </w:r>
          </w:p>
        </w:tc>
        <w:tc>
          <w:tcPr>
            <w:tcW w:w="8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8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100</w:t>
            </w:r>
          </w:p>
        </w:tc>
        <w:tc>
          <w:tcPr>
            <w:tcW w:w="74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4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3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5995" w:type="dxa"/>
            <w:tcBorders/>
          </w:tcPr>
          <w:p>
            <w:pPr>
              <w:pStyle w:val="Normal"/>
              <w:widowControl w:val="false"/>
              <w:suppressAutoHyphens w:val="true"/>
              <w:bidi w:val="0"/>
              <w:spacing w:lineRule="auto" w:line="240" w:before="0" w:after="0"/>
              <w:jc w:val="left"/>
              <w:rPr>
                <w:rFonts w:ascii="Times New Roman" w:hAnsi="Times New Roman" w:cs="Times New Roman"/>
                <w:sz w:val="24"/>
                <w:szCs w:val="24"/>
              </w:rPr>
            </w:pPr>
            <w:r>
              <w:rPr>
                <w:rFonts w:cs="Times New Roman" w:ascii="PT Astra Serif" w:hAnsi="PT Astra Serif"/>
                <w:b w:val="false"/>
                <w:i w:val="false"/>
                <w:strike w:val="false"/>
                <w:dstrike w:val="false"/>
                <w:outline w:val="false"/>
                <w:shadow w:val="false"/>
                <w:sz w:val="18"/>
                <w:szCs w:val="24"/>
                <w:u w:val="none"/>
                <w:em w:val="none"/>
              </w:rPr>
              <w:t xml:space="preserve">В бюджете на 2023 год предусмотренный объем на финансовое обеспечение затрат ГУП РТ «Транспортный сервис и проект» для реализации мероприятий по ликвидации стихийных свалок и вывозу ТКО на территории </w:t>
            </w:r>
            <w:r>
              <w:rPr>
                <w:rFonts w:cs="Times New Roman" w:ascii="PT Astra Serif" w:hAnsi="PT Astra Serif"/>
                <w:b w:val="false"/>
                <w:i w:val="false"/>
                <w:strike w:val="false"/>
                <w:dstrike w:val="false"/>
                <w:outline w:val="false"/>
                <w:shadow w:val="false"/>
                <w:sz w:val="18"/>
                <w:szCs w:val="24"/>
                <w:u w:val="none"/>
                <w:em w:val="none"/>
              </w:rPr>
              <w:t>Республики Тыва — 39485,0 тыс. рублей. Кассовый расход 23 093,8 тыс. рублей. В 2023 г. в план-график ликвидации несанкционированных свалок включены: гг. Кызыл, г. Ак-Довурак, Чадан и Шагонар, с. Чаа-Холь и Эрзинский кожуун.  С 13.04.2023 г. региональным оператором ГУП «Транспортный сервис и проект» начаты мероприятия по ликвидации свалок на территориях г. Ак-Довурак, Дзун-Хемчикском и Чаа-Хольском кожуунах.  На сегодняшний день несанкционированные свалки на территориях г. Ак-Довурак (580871 куб.м.) и Чаа-Хольского кожууна (435545 куб.м.)  полностью ликвидированы. В настоящий момент работы продолжаются в Дзун-Хемчикском и Улуг-Хемском кожуунах.  Объем выполненных работ по состоянию на 28.06.2023 г. составляет 60.4%.</w:t>
            </w:r>
          </w:p>
        </w:tc>
        <w:tc>
          <w:tcPr>
            <w:tcW w:w="1127" w:type="dxa"/>
            <w:vMerge w:val="continue"/>
            <w:tcBorders/>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c>
          <w:tcPr>
            <w:tcW w:w="617"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7</w:t>
            </w:r>
          </w:p>
        </w:tc>
        <w:tc>
          <w:tcPr>
            <w:tcW w:w="2102" w:type="dxa"/>
            <w:tcBorders/>
          </w:tcPr>
          <w:p>
            <w:pPr>
              <w:pStyle w:val="Normal"/>
              <w:widowControl w:val="false"/>
              <w:suppressAutoHyphens w:val="true"/>
              <w:spacing w:lineRule="auto" w:line="240" w:before="0" w:after="0"/>
              <w:jc w:val="left"/>
              <w:rPr>
                <w:b w:val="false"/>
                <w:b w:val="false"/>
                <w:bCs w:val="false"/>
                <w:kern w:val="0"/>
                <w:lang w:val="ru-RU" w:eastAsia="en-US" w:bidi="ar-SA"/>
              </w:rPr>
            </w:pPr>
            <w:r>
              <w:rPr>
                <w:rFonts w:eastAsia="Calibri" w:cs="Times New Roman" w:ascii="PT Astra Serif" w:hAnsi="PT Astra Serif"/>
                <w:b w:val="false"/>
                <w:bCs w:val="false"/>
                <w:kern w:val="0"/>
                <w:sz w:val="24"/>
                <w:szCs w:val="24"/>
                <w:lang w:val="ru-RU" w:eastAsia="en-US" w:bidi="ar-SA"/>
              </w:rPr>
              <w:t>Приобретение оборудования по сбору ТКО</w:t>
            </w:r>
          </w:p>
          <w:p>
            <w:pPr>
              <w:pStyle w:val="Normal"/>
              <w:widowControl w:val="false"/>
              <w:suppressAutoHyphens w:val="true"/>
              <w:spacing w:lineRule="auto" w:line="240" w:before="0" w:after="0"/>
              <w:jc w:val="left"/>
              <w:rPr>
                <w:rFonts w:ascii="PT Astra Serif" w:hAnsi="PT Astra Serif" w:eastAsia="Calibri" w:cs="Times New Roman"/>
                <w:sz w:val="24"/>
                <w:szCs w:val="24"/>
              </w:rPr>
            </w:pPr>
            <w:r>
              <w:rPr>
                <w:rFonts w:eastAsia="Calibri" w:cs="Times New Roman" w:ascii="PT Astra Serif" w:hAnsi="PT Astra Serif"/>
                <w:sz w:val="22"/>
                <w:szCs w:val="24"/>
              </w:rPr>
            </w:r>
          </w:p>
        </w:tc>
        <w:tc>
          <w:tcPr>
            <w:tcW w:w="675"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шт</w:t>
            </w:r>
          </w:p>
        </w:tc>
        <w:tc>
          <w:tcPr>
            <w:tcW w:w="806"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150</w:t>
            </w:r>
          </w:p>
        </w:tc>
        <w:tc>
          <w:tcPr>
            <w:tcW w:w="789"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221</w:t>
            </w:r>
          </w:p>
        </w:tc>
        <w:tc>
          <w:tcPr>
            <w:tcW w:w="731"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147</w:t>
            </w:r>
          </w:p>
        </w:tc>
        <w:tc>
          <w:tcPr>
            <w:tcW w:w="749" w:type="dxa"/>
            <w:tcBorders/>
          </w:tcPr>
          <w:p>
            <w:pPr>
              <w:pStyle w:val="Normal"/>
              <w:widowControl w:val="false"/>
              <w:suppressAutoHyphens w:val="true"/>
              <w:spacing w:lineRule="auto" w:line="240" w:before="0" w:after="0"/>
              <w:jc w:val="center"/>
              <w:rPr>
                <w:rFonts w:ascii="PT Astra Serif" w:hAnsi="PT Astra Serif"/>
                <w:sz w:val="24"/>
                <w:szCs w:val="24"/>
              </w:rPr>
            </w:pPr>
            <w:r>
              <w:rPr>
                <w:rFonts w:eastAsia="Calibri" w:cs="Times New Roman" w:ascii="PT Astra Serif" w:hAnsi="PT Astra Serif"/>
                <w:kern w:val="0"/>
                <w:sz w:val="24"/>
                <w:szCs w:val="24"/>
                <w:lang w:val="ru-RU" w:eastAsia="en-US" w:bidi="ar-SA"/>
              </w:rPr>
              <w:t>150</w:t>
            </w:r>
          </w:p>
        </w:tc>
        <w:tc>
          <w:tcPr>
            <w:tcW w:w="845" w:type="dxa"/>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4"/>
                <w:szCs w:val="24"/>
              </w:rPr>
              <w:t>388</w:t>
            </w:r>
          </w:p>
        </w:tc>
        <w:tc>
          <w:tcPr>
            <w:tcW w:w="731" w:type="dxa"/>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4"/>
                <w:szCs w:val="24"/>
              </w:rPr>
              <w:t>258</w:t>
            </w:r>
          </w:p>
        </w:tc>
        <w:tc>
          <w:tcPr>
            <w:tcW w:w="5995" w:type="dxa"/>
            <w:tcBorders/>
          </w:tcPr>
          <w:p>
            <w:pPr>
              <w:pStyle w:val="Normal"/>
              <w:widowControl w:val="false"/>
              <w:suppressAutoHyphens w:val="true"/>
              <w:bidi w:val="0"/>
              <w:spacing w:lineRule="auto" w:line="240" w:before="0" w:after="0"/>
              <w:jc w:val="left"/>
              <w:rPr>
                <w:rFonts w:ascii="PT Astra Serif" w:hAnsi="PT Astra Serif" w:cs="Times New Roman"/>
                <w:sz w:val="24"/>
                <w:szCs w:val="24"/>
              </w:rPr>
            </w:pPr>
            <w:r>
              <w:rPr>
                <w:rFonts w:cs="Times New Roman" w:ascii="PT Astra Serif" w:hAnsi="PT Astra Serif"/>
                <w:b/>
                <w:i w:val="false"/>
                <w:strike w:val="false"/>
                <w:dstrike w:val="false"/>
                <w:outline w:val="false"/>
                <w:shadow w:val="false"/>
                <w:color w:val="auto"/>
                <w:sz w:val="18"/>
                <w:szCs w:val="24"/>
                <w:u w:val="none"/>
                <w:em w:val="none"/>
              </w:rPr>
              <w:t>И</w:t>
            </w:r>
            <w:r>
              <w:rPr>
                <w:rFonts w:ascii="PT Astra Serif" w:hAnsi="PT Astra Serif"/>
                <w:b/>
                <w:i w:val="false"/>
                <w:strike w:val="false"/>
                <w:dstrike w:val="false"/>
                <w:outline w:val="false"/>
                <w:shadow w:val="false"/>
                <w:color w:val="auto"/>
                <w:sz w:val="18"/>
                <w:u w:val="none"/>
                <w:em w:val="none"/>
              </w:rPr>
              <w:t>сполнено.</w:t>
            </w:r>
            <w:r>
              <w:rPr>
                <w:rFonts w:ascii="PT Astra Serif" w:hAnsi="PT Astra Serif"/>
                <w:b w:val="false"/>
                <w:i w:val="false"/>
                <w:strike w:val="false"/>
                <w:dstrike w:val="false"/>
                <w:outline w:val="false"/>
                <w:shadow w:val="false"/>
                <w:color w:val="auto"/>
                <w:sz w:val="18"/>
                <w:u w:val="none"/>
                <w:em w:val="none"/>
              </w:rPr>
              <w:t xml:space="preserve"> В 2023 году на предусмотренный объем финансирования планировалось приобретение 170 единиц бункеров и 218 контейнеров. По состоянию на 01.07.2023 г. кассовое освоение составляет 11 445,21 тыс. рублей. Экономия составила 46,79 тыс. рублей. На эти средства, предоставленные Министерством региональному оператору по обращению с твёрдыми коммунальными отходами, в качестве субсидии, приобретены 170 бункеров и 218 контейнеров для сбора отходов. Новые контейнера и бункера начали устанавливать на отведенных площадках.</w:t>
            </w:r>
          </w:p>
        </w:tc>
        <w:tc>
          <w:tcPr>
            <w:tcW w:w="1127" w:type="dxa"/>
            <w:vMerge w:val="continue"/>
            <w:tcBorders/>
          </w:tcPr>
          <w:p>
            <w:pPr>
              <w:pStyle w:val="Normal"/>
              <w:widowControl w:val="false"/>
              <w:suppressAutoHyphens w:val="true"/>
              <w:spacing w:lineRule="auto" w:line="240" w:before="0" w:after="0"/>
              <w:jc w:val="left"/>
              <w:rPr>
                <w:rFonts w:ascii="PT Astra Serif" w:hAnsi="PT Astra Serif" w:eastAsia="Calibri"/>
                <w:sz w:val="24"/>
                <w:szCs w:val="24"/>
              </w:rPr>
            </w:pPr>
            <w:r>
              <w:rPr>
                <w:rFonts w:eastAsia="Calibri" w:ascii="PT Astra Serif" w:hAnsi="PT Astra Serif"/>
                <w:sz w:val="22"/>
                <w:szCs w:val="24"/>
              </w:rPr>
            </w:r>
          </w:p>
        </w:tc>
      </w:tr>
      <w:tr>
        <w:trPr/>
        <w:tc>
          <w:tcPr>
            <w:tcW w:w="15167" w:type="dxa"/>
            <w:gridSpan w:val="11"/>
            <w:tcBorders>
              <w:top w:val="nil"/>
            </w:tcBorders>
          </w:tcPr>
          <w:p>
            <w:pPr>
              <w:pStyle w:val="Normal"/>
              <w:widowControl w:val="false"/>
              <w:suppressAutoHyphens w:val="true"/>
              <w:spacing w:lineRule="auto"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
                <w:bCs/>
                <w:kern w:val="0"/>
                <w:sz w:val="22"/>
                <w:lang w:val="ru-RU" w:eastAsia="ru-RU" w:bidi="ar-SA"/>
              </w:rPr>
              <w:t>Подпрограмма «Чистая вода»</w:t>
            </w:r>
          </w:p>
        </w:tc>
      </w:tr>
      <w:tr>
        <w:trPr/>
        <w:tc>
          <w:tcPr>
            <w:tcW w:w="61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1</w:t>
            </w:r>
          </w:p>
        </w:tc>
        <w:tc>
          <w:tcPr>
            <w:tcW w:w="2102" w:type="dxa"/>
            <w:tcBorders>
              <w:top w:val="nil"/>
            </w:tcBorders>
          </w:tcPr>
          <w:p>
            <w:pPr>
              <w:pStyle w:val="Normal"/>
              <w:widowControl w:val="false"/>
              <w:suppressAutoHyphens w:val="true"/>
              <w:spacing w:lineRule="auto" w:line="240" w:before="0" w:after="0"/>
              <w:jc w:val="left"/>
              <w:rPr>
                <w:rFonts w:ascii="Times New Roman" w:hAnsi="Times New Roman" w:cs="Times New Roman"/>
                <w:b/>
                <w:b/>
                <w:bCs/>
                <w:kern w:val="0"/>
                <w:sz w:val="24"/>
                <w:szCs w:val="24"/>
                <w:lang w:val="ru-RU" w:eastAsia="en-US" w:bidi="ar-SA"/>
              </w:rPr>
            </w:pPr>
            <w:r>
              <w:rPr>
                <w:rStyle w:val="Style15"/>
                <w:rFonts w:cs="Times New Roman" w:ascii="Times New Roman" w:hAnsi="Times New Roman"/>
                <w:b w:val="false"/>
                <w:bCs w:val="false"/>
                <w:kern w:val="0"/>
                <w:sz w:val="24"/>
                <w:szCs w:val="24"/>
                <w:lang w:val="ru-RU" w:eastAsia="en-US" w:bidi="ar-SA"/>
              </w:rPr>
              <w:t>Уровень износа коммунальной инфраструктуры на 2017 год и снижение износа объектов коммунальной инфраструктуры до 60 процентов:</w:t>
            </w:r>
          </w:p>
          <w:p>
            <w:pPr>
              <w:pStyle w:val="Normal"/>
              <w:widowControl w:val="false"/>
              <w:suppressAutoHyphens w:val="true"/>
              <w:spacing w:lineRule="auto" w:line="240" w:before="0" w:after="0"/>
              <w:jc w:val="left"/>
              <w:rPr>
                <w:rFonts w:ascii="Times New Roman" w:hAnsi="Times New Roman" w:cs="Times New Roman"/>
                <w:b/>
                <w:b/>
                <w:bCs/>
                <w:kern w:val="0"/>
                <w:sz w:val="24"/>
                <w:szCs w:val="24"/>
                <w:lang w:val="ru-RU" w:eastAsia="en-US" w:bidi="ar-SA"/>
              </w:rPr>
            </w:pPr>
            <w:r>
              <w:rPr>
                <w:rStyle w:val="Style15"/>
                <w:rFonts w:cs="Times New Roman" w:ascii="Times New Roman" w:hAnsi="Times New Roman"/>
                <w:b w:val="false"/>
                <w:bCs w:val="false"/>
                <w:kern w:val="0"/>
                <w:sz w:val="24"/>
                <w:szCs w:val="24"/>
                <w:lang w:val="ru-RU" w:eastAsia="en-US" w:bidi="ar-SA"/>
              </w:rPr>
              <w:t>по водоотведению на 2017 год составляет 57,1</w:t>
            </w:r>
          </w:p>
        </w:tc>
        <w:tc>
          <w:tcPr>
            <w:tcW w:w="675"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w:t>
            </w:r>
          </w:p>
        </w:tc>
        <w:tc>
          <w:tcPr>
            <w:tcW w:w="806"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уменьшается на 6,3</w:t>
            </w:r>
          </w:p>
        </w:tc>
        <w:tc>
          <w:tcPr>
            <w:tcW w:w="789"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уменьшается на 6,3</w:t>
            </w:r>
          </w:p>
        </w:tc>
        <w:tc>
          <w:tcPr>
            <w:tcW w:w="731"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w:t>
            </w:r>
          </w:p>
        </w:tc>
        <w:tc>
          <w:tcPr>
            <w:tcW w:w="749"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уменьшается на 6,3</w:t>
            </w:r>
          </w:p>
        </w:tc>
        <w:tc>
          <w:tcPr>
            <w:tcW w:w="845"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731"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9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2"/>
                <w:szCs w:val="24"/>
              </w:rPr>
            </w:pPr>
            <w:r>
              <w:rPr>
                <w:rFonts w:cs="Times New Roman" w:ascii="Times New Roman" w:hAnsi="Times New Roman"/>
                <w:sz w:val="22"/>
                <w:szCs w:val="24"/>
              </w:rPr>
              <w:t>В исполнении.</w:t>
            </w:r>
          </w:p>
        </w:tc>
        <w:tc>
          <w:tcPr>
            <w:tcW w:w="1127" w:type="dxa"/>
            <w:vMerge w:val="restart"/>
            <w:tcBorders>
              <w:top w:val="nil"/>
            </w:tcBorders>
          </w:tcPr>
          <w:p>
            <w:pPr>
              <w:pStyle w:val="Normal"/>
              <w:widowControl w:val="false"/>
              <w:suppressAutoHyphens w:val="true"/>
              <w:spacing w:lineRule="auto" w:line="240" w:before="0" w:after="0"/>
              <w:jc w:val="left"/>
              <w:rPr>
                <w:rFonts w:ascii="PT Astra Serif" w:hAnsi="PT Astra Serif" w:eastAsia="Calibri"/>
                <w:sz w:val="24"/>
                <w:szCs w:val="24"/>
              </w:rPr>
            </w:pPr>
            <w:r>
              <w:rPr>
                <w:rFonts w:eastAsia="Calibri" w:cs="" w:ascii="PT Astra Serif" w:hAnsi="PT Astra Serif"/>
                <w:kern w:val="0"/>
                <w:sz w:val="24"/>
                <w:szCs w:val="24"/>
                <w:lang w:val="ru-RU" w:eastAsia="en-US" w:bidi="ar-SA"/>
              </w:rPr>
              <w:t>Минстрой РТ</w:t>
            </w:r>
          </w:p>
        </w:tc>
      </w:tr>
      <w:tr>
        <w:trPr/>
        <w:tc>
          <w:tcPr>
            <w:tcW w:w="61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2</w:t>
            </w:r>
          </w:p>
        </w:tc>
        <w:tc>
          <w:tcPr>
            <w:tcW w:w="2102" w:type="dxa"/>
            <w:tcBorders>
              <w:top w:val="nil"/>
            </w:tcBorders>
          </w:tcPr>
          <w:p>
            <w:pPr>
              <w:pStyle w:val="Normal"/>
              <w:widowControl w:val="false"/>
              <w:suppressAutoHyphens w:val="true"/>
              <w:spacing w:lineRule="auto" w:line="240" w:before="0" w:after="0"/>
              <w:jc w:val="left"/>
              <w:rPr>
                <w:rFonts w:eastAsia="Calibri"/>
                <w:b w:val="false"/>
                <w:b w:val="false"/>
                <w:bCs w:val="false"/>
                <w:kern w:val="0"/>
                <w:lang w:val="ru-RU" w:eastAsia="en-US" w:bidi="ar-SA"/>
              </w:rPr>
            </w:pPr>
            <w:r>
              <w:rPr>
                <w:rFonts w:eastAsia="Calibri" w:cs="Times New Roman" w:ascii="Times New Roman" w:hAnsi="Times New Roman"/>
                <w:b w:val="false"/>
                <w:bCs w:val="false"/>
                <w:color w:val="000000"/>
                <w:kern w:val="0"/>
                <w:sz w:val="24"/>
                <w:szCs w:val="24"/>
                <w:lang w:val="ru-RU" w:eastAsia="en-US" w:bidi="ar-SA"/>
              </w:rPr>
              <w:t>Повышение доли населения, обеспеченного качественной питьевой водой из систем централизованного водоснабжения, в 2024 году до показателя 47,6 процента (базовое значение 24,5 процента)</w:t>
            </w:r>
          </w:p>
        </w:tc>
        <w:tc>
          <w:tcPr>
            <w:tcW w:w="67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w:t>
            </w:r>
          </w:p>
        </w:tc>
        <w:tc>
          <w:tcPr>
            <w:tcW w:w="806"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26,9</w:t>
            </w:r>
          </w:p>
        </w:tc>
        <w:tc>
          <w:tcPr>
            <w:tcW w:w="78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0</w:t>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w:t>
            </w:r>
          </w:p>
        </w:tc>
        <w:tc>
          <w:tcPr>
            <w:tcW w:w="74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43,7</w:t>
            </w:r>
          </w:p>
        </w:tc>
        <w:tc>
          <w:tcPr>
            <w:tcW w:w="84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5995" w:type="dxa"/>
            <w:tcBorders>
              <w:top w:val="nil"/>
            </w:tcBorders>
          </w:tcPr>
          <w:p>
            <w:pPr>
              <w:pStyle w:val="Normal"/>
              <w:widowControl w:val="false"/>
              <w:suppressAutoHyphens w:val="true"/>
              <w:spacing w:lineRule="auto" w:line="240" w:before="0" w:after="0"/>
              <w:jc w:val="left"/>
              <w:rPr>
                <w:rFonts w:ascii="PT Astra Serif" w:hAnsi="PT Astra Serif" w:cs="Times New Roman"/>
                <w:sz w:val="24"/>
                <w:szCs w:val="24"/>
              </w:rPr>
            </w:pPr>
            <w:r>
              <w:rPr>
                <w:rFonts w:cs="Times New Roman" w:ascii="Times New Roman" w:hAnsi="Times New Roman"/>
                <w:sz w:val="22"/>
                <w:szCs w:val="24"/>
              </w:rPr>
              <w:t>В исполнении.</w:t>
            </w:r>
          </w:p>
        </w:tc>
        <w:tc>
          <w:tcPr>
            <w:tcW w:w="1127" w:type="dxa"/>
            <w:vMerge w:val="continue"/>
            <w:tcBorders>
              <w:top w:val="nil"/>
            </w:tcBorders>
          </w:tcPr>
          <w:p>
            <w:pPr>
              <w:pStyle w:val="Normal"/>
              <w:widowControl w:val="false"/>
              <w:suppressAutoHyphens w:val="true"/>
              <w:spacing w:lineRule="auto" w:line="240" w:before="0" w:after="0"/>
              <w:jc w:val="left"/>
              <w:rPr>
                <w:rFonts w:ascii="PT Astra Serif" w:hAnsi="PT Astra Serif" w:eastAsia="Calibri"/>
                <w:sz w:val="24"/>
                <w:szCs w:val="24"/>
              </w:rPr>
            </w:pPr>
            <w:r>
              <w:rPr>
                <w:rFonts w:eastAsia="Calibri" w:ascii="PT Astra Serif" w:hAnsi="PT Astra Serif"/>
                <w:sz w:val="22"/>
                <w:szCs w:val="24"/>
              </w:rPr>
            </w:r>
          </w:p>
        </w:tc>
      </w:tr>
      <w:tr>
        <w:trPr/>
        <w:tc>
          <w:tcPr>
            <w:tcW w:w="61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3</w:t>
            </w:r>
          </w:p>
        </w:tc>
        <w:tc>
          <w:tcPr>
            <w:tcW w:w="2102" w:type="dxa"/>
            <w:tcBorders>
              <w:top w:val="nil"/>
            </w:tcBorders>
          </w:tcPr>
          <w:p>
            <w:pPr>
              <w:pStyle w:val="Normal"/>
              <w:widowControl w:val="false"/>
              <w:suppressAutoHyphens w:val="true"/>
              <w:spacing w:lineRule="auto" w:line="240" w:before="0" w:after="0"/>
              <w:jc w:val="left"/>
              <w:rPr>
                <w:rFonts w:eastAsia="Calibri"/>
                <w:b w:val="false"/>
                <w:b w:val="false"/>
                <w:bCs w:val="false"/>
                <w:kern w:val="0"/>
                <w:lang w:val="ru-RU" w:eastAsia="en-US" w:bidi="ar-SA"/>
              </w:rPr>
            </w:pPr>
            <w:r>
              <w:rPr>
                <w:rFonts w:eastAsia="Calibri" w:cs="Times New Roman" w:ascii="PT Astra Serif" w:hAnsi="PT Astra Serif"/>
                <w:b w:val="false"/>
                <w:bCs w:val="false"/>
                <w:color w:val="000000"/>
                <w:kern w:val="0"/>
                <w:sz w:val="24"/>
                <w:szCs w:val="24"/>
                <w:lang w:val="ru-RU" w:eastAsia="en-US" w:bidi="ar-SA"/>
              </w:rPr>
              <w:t>Суммарный прирост численности населения, обеспеченного качественной питьевой водой из систем централизованного водоснабжения, после ввода объекта в эксплуатацию                                         (базовое значение 75 575 чел.)</w:t>
            </w:r>
          </w:p>
        </w:tc>
        <w:tc>
          <w:tcPr>
            <w:tcW w:w="67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человек</w:t>
            </w:r>
          </w:p>
        </w:tc>
        <w:tc>
          <w:tcPr>
            <w:tcW w:w="806"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0</w:t>
            </w:r>
          </w:p>
        </w:tc>
        <w:tc>
          <w:tcPr>
            <w:tcW w:w="78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0</w:t>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w:t>
            </w:r>
          </w:p>
        </w:tc>
        <w:tc>
          <w:tcPr>
            <w:tcW w:w="74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22087</w:t>
            </w:r>
          </w:p>
        </w:tc>
        <w:tc>
          <w:tcPr>
            <w:tcW w:w="84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5995" w:type="dxa"/>
            <w:tcBorders>
              <w:top w:val="nil"/>
            </w:tcBorders>
          </w:tcPr>
          <w:p>
            <w:pPr>
              <w:pStyle w:val="Normal"/>
              <w:widowControl w:val="false"/>
              <w:suppressAutoHyphens w:val="true"/>
              <w:spacing w:lineRule="auto" w:line="240" w:before="0" w:after="0"/>
              <w:jc w:val="left"/>
              <w:rPr>
                <w:rFonts w:ascii="PT Astra Serif" w:hAnsi="PT Astra Serif" w:cs="Times New Roman"/>
                <w:sz w:val="24"/>
                <w:szCs w:val="24"/>
              </w:rPr>
            </w:pPr>
            <w:r>
              <w:rPr>
                <w:rFonts w:cs="Times New Roman" w:ascii="Times New Roman" w:hAnsi="Times New Roman"/>
                <w:sz w:val="22"/>
                <w:szCs w:val="24"/>
              </w:rPr>
              <w:t>В исполнении.</w:t>
            </w:r>
          </w:p>
        </w:tc>
        <w:tc>
          <w:tcPr>
            <w:tcW w:w="1127" w:type="dxa"/>
            <w:vMerge w:val="continue"/>
            <w:tcBorders>
              <w:top w:val="nil"/>
            </w:tcBorders>
          </w:tcPr>
          <w:p>
            <w:pPr>
              <w:pStyle w:val="Normal"/>
              <w:widowControl w:val="false"/>
              <w:suppressAutoHyphens w:val="true"/>
              <w:spacing w:lineRule="auto" w:line="240" w:before="0" w:after="0"/>
              <w:jc w:val="left"/>
              <w:rPr>
                <w:rFonts w:ascii="PT Astra Serif" w:hAnsi="PT Astra Serif" w:eastAsia="Calibri"/>
                <w:sz w:val="24"/>
                <w:szCs w:val="24"/>
              </w:rPr>
            </w:pPr>
            <w:r>
              <w:rPr>
                <w:rFonts w:eastAsia="Calibri" w:ascii="PT Astra Serif" w:hAnsi="PT Astra Serif"/>
                <w:sz w:val="22"/>
                <w:szCs w:val="24"/>
              </w:rPr>
            </w:r>
          </w:p>
        </w:tc>
      </w:tr>
      <w:tr>
        <w:trPr/>
        <w:tc>
          <w:tcPr>
            <w:tcW w:w="61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4</w:t>
            </w:r>
          </w:p>
        </w:tc>
        <w:tc>
          <w:tcPr>
            <w:tcW w:w="2102" w:type="dxa"/>
            <w:tcBorders>
              <w:top w:val="nil"/>
            </w:tcBorders>
          </w:tcPr>
          <w:p>
            <w:pPr>
              <w:pStyle w:val="Normal"/>
              <w:widowControl w:val="false"/>
              <w:suppressAutoHyphens w:val="true"/>
              <w:spacing w:lineRule="auto" w:line="240" w:before="0" w:after="0"/>
              <w:jc w:val="left"/>
              <w:rPr>
                <w:rFonts w:eastAsia="Calibri"/>
                <w:b w:val="false"/>
                <w:b w:val="false"/>
                <w:bCs w:val="false"/>
                <w:kern w:val="0"/>
                <w:lang w:val="ru-RU" w:eastAsia="en-US" w:bidi="ar-SA"/>
              </w:rPr>
            </w:pPr>
            <w:r>
              <w:rPr>
                <w:rFonts w:eastAsia="Calibri" w:cs="Times New Roman" w:ascii="PT Astra Serif" w:hAnsi="PT Astra Serif"/>
                <w:b w:val="false"/>
                <w:bCs w:val="false"/>
                <w:color w:val="000000"/>
                <w:kern w:val="0"/>
                <w:sz w:val="24"/>
                <w:szCs w:val="24"/>
                <w:lang w:val="ru-RU" w:eastAsia="en-US" w:bidi="ar-SA"/>
              </w:rPr>
              <w:t xml:space="preserve">Повышение качества питьевой воды из систем централизованного водоснабжения посредством строительства и реконструкции объектов водоснабжения </w:t>
            </w:r>
            <w:r>
              <w:rPr>
                <w:rFonts w:eastAsia="Calibri" w:cs="Times New Roman" w:ascii="PT Astra Serif" w:hAnsi="PT Astra Serif"/>
                <w:b w:val="false"/>
                <w:bCs w:val="false"/>
                <w:i/>
                <w:color w:val="000000"/>
                <w:kern w:val="0"/>
                <w:sz w:val="24"/>
                <w:szCs w:val="24"/>
                <w:lang w:val="ru-RU" w:eastAsia="en-US" w:bidi="ar-SA"/>
              </w:rPr>
              <w:t>(нарастающим итогом)</w:t>
            </w:r>
          </w:p>
        </w:tc>
        <w:tc>
          <w:tcPr>
            <w:tcW w:w="67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штук</w:t>
            </w:r>
          </w:p>
        </w:tc>
        <w:tc>
          <w:tcPr>
            <w:tcW w:w="806"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0</w:t>
            </w:r>
          </w:p>
        </w:tc>
        <w:tc>
          <w:tcPr>
            <w:tcW w:w="78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0</w:t>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w:t>
            </w:r>
          </w:p>
        </w:tc>
        <w:tc>
          <w:tcPr>
            <w:tcW w:w="749"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eastAsia="Calibri" w:cs="Times New Roman" w:ascii="PT Astra Serif" w:hAnsi="PT Astra Serif"/>
                <w:kern w:val="0"/>
                <w:sz w:val="24"/>
                <w:szCs w:val="24"/>
                <w:lang w:val="ru-RU" w:eastAsia="en-US" w:bidi="ar-SA"/>
              </w:rPr>
              <w:t>4</w:t>
            </w:r>
          </w:p>
        </w:tc>
        <w:tc>
          <w:tcPr>
            <w:tcW w:w="845"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731" w:type="dxa"/>
            <w:tcBorders>
              <w:top w:val="nil"/>
            </w:tcBorders>
          </w:tcPr>
          <w:p>
            <w:pPr>
              <w:pStyle w:val="Normal"/>
              <w:widowControl w:val="false"/>
              <w:suppressAutoHyphens w:val="true"/>
              <w:spacing w:lineRule="auto" w:line="240" w:before="0" w:after="0"/>
              <w:jc w:val="center"/>
              <w:rPr>
                <w:rFonts w:ascii="PT Astra Serif" w:hAnsi="PT Astra Serif" w:cs="Times New Roman"/>
                <w:sz w:val="24"/>
                <w:szCs w:val="24"/>
              </w:rPr>
            </w:pPr>
            <w:r>
              <w:rPr>
                <w:rFonts w:cs="Times New Roman" w:ascii="PT Astra Serif" w:hAnsi="PT Astra Serif"/>
                <w:sz w:val="22"/>
                <w:szCs w:val="24"/>
              </w:rPr>
            </w:r>
          </w:p>
        </w:tc>
        <w:tc>
          <w:tcPr>
            <w:tcW w:w="5995" w:type="dxa"/>
            <w:tcBorders>
              <w:top w:val="nil"/>
            </w:tcBorders>
          </w:tcPr>
          <w:p>
            <w:pPr>
              <w:pStyle w:val="Normal"/>
              <w:widowControl w:val="false"/>
              <w:suppressAutoHyphens w:val="true"/>
              <w:spacing w:lineRule="auto" w:line="240" w:before="0" w:after="0"/>
              <w:jc w:val="left"/>
              <w:rPr>
                <w:rFonts w:ascii="PT Astra Serif" w:hAnsi="PT Astra Serif" w:cs="Times New Roman"/>
                <w:sz w:val="24"/>
                <w:szCs w:val="24"/>
              </w:rPr>
            </w:pPr>
            <w:r>
              <w:rPr>
                <w:rFonts w:cs="Times New Roman" w:ascii="Times New Roman" w:hAnsi="Times New Roman"/>
                <w:sz w:val="22"/>
                <w:szCs w:val="24"/>
              </w:rPr>
              <w:t>В исполнении.</w:t>
            </w:r>
          </w:p>
        </w:tc>
        <w:tc>
          <w:tcPr>
            <w:tcW w:w="1127" w:type="dxa"/>
            <w:vMerge w:val="continue"/>
            <w:tcBorders>
              <w:top w:val="nil"/>
            </w:tcBorders>
          </w:tcPr>
          <w:p>
            <w:pPr>
              <w:pStyle w:val="Normal"/>
              <w:widowControl w:val="false"/>
              <w:suppressAutoHyphens w:val="true"/>
              <w:spacing w:lineRule="auto" w:line="240" w:before="0" w:after="0"/>
              <w:jc w:val="left"/>
              <w:rPr>
                <w:rFonts w:ascii="PT Astra Serif" w:hAnsi="PT Astra Serif" w:eastAsia="Calibri"/>
                <w:sz w:val="24"/>
                <w:szCs w:val="24"/>
              </w:rPr>
            </w:pPr>
            <w:r>
              <w:rPr>
                <w:rFonts w:eastAsia="Calibri" w:ascii="PT Astra Serif" w:hAnsi="PT Astra Serif"/>
                <w:sz w:val="22"/>
                <w:szCs w:val="24"/>
              </w:rPr>
            </w:r>
          </w:p>
        </w:tc>
      </w:tr>
    </w:tbl>
    <w:p>
      <w:pPr>
        <w:pStyle w:val="Normal"/>
        <w:spacing w:before="0" w:after="160"/>
        <w:jc w:val="center"/>
        <w:rPr>
          <w:rFonts w:ascii="Times New Roman" w:hAnsi="Times New Roman" w:cs="Times New Roman"/>
          <w:sz w:val="24"/>
          <w:szCs w:val="24"/>
        </w:rPr>
      </w:pPr>
      <w:r>
        <w:rPr/>
      </w:r>
    </w:p>
    <w:sectPr>
      <w:type w:val="nextPage"/>
      <w:pgSz w:orient="landscape" w:w="16838" w:h="11906"/>
      <w:pgMar w:left="1134" w:right="1134" w:gutter="0" w:header="0" w:top="1701" w:footer="0" w:bottom="85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Times New Roman">
    <w:altName w:val="serif"/>
    <w:charset w:val="01"/>
    <w:family w:val="roman"/>
    <w:pitch w:val="default"/>
  </w:font>
  <w:font w:name="PT Astra Serif">
    <w:charset w:val="01"/>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87405e"/>
    <w:rPr>
      <w:rFonts w:ascii="Segoe UI" w:hAnsi="Segoe UI" w:cs="Segoe UI"/>
      <w:sz w:val="18"/>
      <w:szCs w:val="18"/>
    </w:rPr>
  </w:style>
  <w:style w:type="character" w:styleId="Style15">
    <w:name w:val="Основной шрифт абзаца"/>
    <w:qFormat/>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87405e"/>
    <w:pPr>
      <w:spacing w:lineRule="auto" w:line="240" w:before="0" w:after="0"/>
    </w:pPr>
    <w:rPr>
      <w:rFonts w:ascii="Segoe UI" w:hAnsi="Segoe UI" w:cs="Segoe UI"/>
      <w:sz w:val="18"/>
      <w:szCs w:val="18"/>
    </w:rPr>
  </w:style>
  <w:style w:type="paragraph" w:styleId="ConsPlusNormal" w:customStyle="1">
    <w:name w:val="ConsPlus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be41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0149-2227-46EB-9108-AD6EEF2D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LibreOffice/7.3.6.2$Linux_X86_64 LibreOffice_project/30$Build-2</Application>
  <AppVersion>15.0000</AppVersion>
  <Pages>5</Pages>
  <Words>1108</Words>
  <Characters>7158</Characters>
  <CharactersWithSpaces>8172</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2023-04-05T09:26:00Z</dcterms:created>
  <dc:creator>User</dc:creator>
  <dc:description/>
  <dc:language>ru-RU</dc:language>
  <cp:lastModifiedBy/>
  <dcterms:modified xsi:type="dcterms:W3CDTF">2023-07-06T11:13:53Z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