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1CB4">
      <w:pPr>
        <w:pStyle w:val="ConsPlusNormal"/>
        <w:jc w:val="both"/>
        <w:outlineLvl w:val="0"/>
      </w:pPr>
      <w:bookmarkStart w:id="0" w:name="_GoBack"/>
      <w:bookmarkEnd w:id="0"/>
    </w:p>
    <w:p w:rsidR="00000000" w:rsidRDefault="00901CB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901CB4">
      <w:pPr>
        <w:pStyle w:val="ConsPlusTitle"/>
        <w:jc w:val="center"/>
      </w:pPr>
    </w:p>
    <w:p w:rsidR="00000000" w:rsidRDefault="00901CB4">
      <w:pPr>
        <w:pStyle w:val="ConsPlusTitle"/>
        <w:jc w:val="center"/>
      </w:pPr>
      <w:r>
        <w:t>ИНФОРМАЦИЯ</w:t>
      </w:r>
    </w:p>
    <w:p w:rsidR="00000000" w:rsidRDefault="00901CB4">
      <w:pPr>
        <w:pStyle w:val="ConsPlusTitle"/>
        <w:jc w:val="center"/>
      </w:pPr>
    </w:p>
    <w:p w:rsidR="00000000" w:rsidRDefault="00901CB4">
      <w:pPr>
        <w:pStyle w:val="ConsPlusTitle"/>
        <w:jc w:val="center"/>
      </w:pPr>
      <w:r>
        <w:t>ОСНОВНЫЕ НОВЕЛЛЫ</w:t>
      </w:r>
    </w:p>
    <w:p w:rsidR="00000000" w:rsidRDefault="00901CB4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000000" w:rsidRDefault="00901CB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00000" w:rsidRDefault="00901CB4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000000" w:rsidRDefault="00901CB4">
      <w:pPr>
        <w:pStyle w:val="ConsPlusTitle"/>
        <w:jc w:val="center"/>
      </w:pPr>
      <w:r>
        <w:t>СПРАВКИ В 2023 ГОДУ (ЗА ОТЧЕТНЫЙ 2022 ГОД)</w:t>
      </w:r>
    </w:p>
    <w:p w:rsidR="00000000" w:rsidRDefault="00901CB4">
      <w:pPr>
        <w:pStyle w:val="ConsPlusNormal"/>
        <w:jc w:val="center"/>
      </w:pPr>
    </w:p>
    <w:p w:rsidR="00000000" w:rsidRDefault="00901CB4">
      <w:pPr>
        <w:pStyle w:val="ConsPlusNormal"/>
        <w:ind w:firstLine="540"/>
        <w:jc w:val="both"/>
      </w:pPr>
      <w:r>
        <w:t>В течение последних лет является усто</w:t>
      </w:r>
      <w:r>
        <w:t xml:space="preserve">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6" w:history="1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</w:t>
      </w:r>
      <w:r>
        <w:t>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 xml:space="preserve">Методические </w:t>
      </w:r>
      <w:hyperlink r:id="rId7" w:history="1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</w:t>
      </w:r>
      <w:r>
        <w:t>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 xml:space="preserve">В ходе использования в работе указанных Методических </w:t>
      </w:r>
      <w:hyperlink r:id="rId8" w:history="1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 xml:space="preserve">1. Методические </w:t>
      </w:r>
      <w:hyperlink r:id="rId9" w:history="1">
        <w:r>
          <w:rPr>
            <w:color w:val="0000FF"/>
          </w:rPr>
          <w:t>рекомендации</w:t>
        </w:r>
      </w:hyperlink>
      <w:r>
        <w:t xml:space="preserve"> учитывают особенности представления сведений</w:t>
      </w:r>
      <w:r>
        <w:t xml:space="preserve">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>2. В Метод</w:t>
      </w:r>
      <w:r>
        <w:t xml:space="preserve">ических </w:t>
      </w:r>
      <w:hyperlink r:id="rId10" w:history="1">
        <w:r>
          <w:rPr>
            <w:color w:val="0000FF"/>
          </w:rPr>
          <w:t>рекомендациях</w:t>
        </w:r>
      </w:hyperlink>
      <w:r>
        <w:t xml:space="preserve">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 xml:space="preserve">3. В </w:t>
      </w:r>
      <w:hyperlink r:id="rId11" w:history="1">
        <w:r>
          <w:rPr>
            <w:color w:val="0000FF"/>
          </w:rPr>
          <w:t>пункте 20</w:t>
        </w:r>
      </w:hyperlink>
      <w:r>
        <w:t xml:space="preserve"> Методических рекомендаций подчеркнуто, что квалифицирующим признаком для возникновения обязанности представить сведения в рамках декларационной ка</w:t>
      </w:r>
      <w:r>
        <w:t>мпании, по общему правилу, являются правоотношения, имеющиеся на 31 декабря отчетного года.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>4.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</w:t>
      </w:r>
      <w:r>
        <w:t>ложены применимые пояснения (</w:t>
      </w:r>
      <w:hyperlink r:id="rId12" w:history="1">
        <w:r>
          <w:rPr>
            <w:color w:val="0000FF"/>
          </w:rPr>
          <w:t>пункт 37</w:t>
        </w:r>
      </w:hyperlink>
      <w:r>
        <w:t xml:space="preserve"> Методических рекомендаций).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 xml:space="preserve">5. В </w:t>
      </w:r>
      <w:hyperlink r:id="rId13" w:history="1">
        <w:r>
          <w:rPr>
            <w:color w:val="0000FF"/>
          </w:rPr>
          <w:t>пункте 44</w:t>
        </w:r>
      </w:hyperlink>
      <w:r>
        <w:t xml:space="preserve">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>6. Указа</w:t>
      </w:r>
      <w:r>
        <w:t>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lastRenderedPageBreak/>
        <w:t xml:space="preserve">7. В </w:t>
      </w:r>
      <w:hyperlink r:id="rId14" w:history="1">
        <w:r>
          <w:rPr>
            <w:color w:val="0000FF"/>
          </w:rPr>
          <w:t>пункт</w:t>
        </w:r>
        <w:r>
          <w:rPr>
            <w:color w:val="0000FF"/>
          </w:rPr>
          <w:t>е 53</w:t>
        </w:r>
      </w:hyperlink>
      <w:r>
        <w:t xml:space="preserve">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>8. Актуализирован перечень выплат, которые могут быть признаны доходом</w:t>
      </w:r>
      <w:r>
        <w:t xml:space="preserve">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>9. Учитывая возникающие на практике вопросы повторно отмечаем, что доход от операций с ценными бумагами выра</w:t>
      </w:r>
      <w:r>
        <w:t>жается в величине суммы финансового результата.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 xml:space="preserve">10. Уточнены положения Методических </w:t>
      </w:r>
      <w:hyperlink r:id="rId15" w:history="1">
        <w:r>
          <w:rPr>
            <w:color w:val="0000FF"/>
          </w:rPr>
          <w:t>рекомендаций</w:t>
        </w:r>
      </w:hyperlink>
      <w:r>
        <w:t>, касающиеся цифровых финансовых инструментов.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 xml:space="preserve">11. В </w:t>
      </w:r>
      <w:hyperlink r:id="rId16" w:history="1">
        <w:r>
          <w:rPr>
            <w:color w:val="0000FF"/>
          </w:rPr>
          <w:t>пункте 181</w:t>
        </w:r>
      </w:hyperlink>
      <w:r>
        <w:t xml:space="preserve">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000000" w:rsidRDefault="00901CB4">
      <w:pPr>
        <w:pStyle w:val="ConsPlusNormal"/>
        <w:spacing w:before="240"/>
        <w:ind w:firstLine="540"/>
        <w:jc w:val="both"/>
      </w:pPr>
      <w:r>
        <w:t xml:space="preserve">12. Положения Методических </w:t>
      </w:r>
      <w:hyperlink r:id="rId17" w:history="1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</w:p>
    <w:p w:rsidR="00000000" w:rsidRDefault="00901CB4">
      <w:pPr>
        <w:pStyle w:val="ConsPlusNormal"/>
        <w:jc w:val="both"/>
      </w:pPr>
    </w:p>
    <w:p w:rsidR="00000000" w:rsidRDefault="00901CB4">
      <w:pPr>
        <w:pStyle w:val="ConsPlusNormal"/>
        <w:jc w:val="both"/>
      </w:pPr>
    </w:p>
    <w:p w:rsidR="00901CB4" w:rsidRDefault="00901C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1CB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B4" w:rsidRDefault="00901CB4">
      <w:pPr>
        <w:spacing w:after="0" w:line="240" w:lineRule="auto"/>
      </w:pPr>
      <w:r>
        <w:separator/>
      </w:r>
    </w:p>
  </w:endnote>
  <w:endnote w:type="continuationSeparator" w:id="0">
    <w:p w:rsidR="00901CB4" w:rsidRDefault="009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1C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275F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275F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275F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275F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1CB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1C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275F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275F3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275F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275F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1CB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B4" w:rsidRDefault="00901CB4">
      <w:pPr>
        <w:spacing w:after="0" w:line="240" w:lineRule="auto"/>
      </w:pPr>
      <w:r>
        <w:separator/>
      </w:r>
    </w:p>
  </w:footnote>
  <w:footnote w:type="continuationSeparator" w:id="0">
    <w:p w:rsidR="00901CB4" w:rsidRDefault="0090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Минтруда России</w:t>
          </w:r>
          <w:r>
            <w:rPr>
              <w:rFonts w:ascii="Tahoma" w:hAnsi="Tahoma" w:cs="Tahoma"/>
              <w:sz w:val="16"/>
              <w:szCs w:val="16"/>
            </w:rPr>
            <w:br/>
            <w:t>"Основные новеллы в Методических рекомендациях по вопросам представления сведений о доходах...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17.10.2023</w:t>
          </w:r>
        </w:p>
      </w:tc>
    </w:tr>
  </w:tbl>
  <w:p w:rsidR="00000000" w:rsidRDefault="00901C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1CB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75F3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901CB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Минтруда России "Основные новеллы в Методических рекомендациях по вопросам представления сведений о доход</w:t>
          </w:r>
          <w:r>
            <w:rPr>
              <w:rFonts w:ascii="Tahoma" w:hAnsi="Tahoma" w:cs="Tahoma"/>
              <w:sz w:val="16"/>
              <w:szCs w:val="16"/>
            </w:rPr>
            <w:t>ах...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1CB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17.10.2023</w:t>
          </w:r>
        </w:p>
      </w:tc>
    </w:tr>
  </w:tbl>
  <w:p w:rsidR="00000000" w:rsidRDefault="00901C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1CB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F3"/>
    <w:rsid w:val="00901CB4"/>
    <w:rsid w:val="00B2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A3AA2C-AC93-429F-8ED3-E8F71BF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473&amp;date=17.10.2023" TargetMode="External"/><Relationship Id="rId13" Type="http://schemas.openxmlformats.org/officeDocument/2006/relationships/hyperlink" Target="https://login.consultant.ru/link/?req=doc&amp;base=LAW&amp;n=436473&amp;date=17.10.2023&amp;dst=100174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36473&amp;date=17.10.2023" TargetMode="External"/><Relationship Id="rId12" Type="http://schemas.openxmlformats.org/officeDocument/2006/relationships/hyperlink" Target="https://login.consultant.ru/link/?req=doc&amp;base=LAW&amp;n=436473&amp;date=17.10.2023&amp;dst=100152&amp;field=134" TargetMode="External"/><Relationship Id="rId17" Type="http://schemas.openxmlformats.org/officeDocument/2006/relationships/hyperlink" Target="https://login.consultant.ru/link/?req=doc&amp;base=LAW&amp;n=436473&amp;date=17.10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6473&amp;date=17.10.2023&amp;dst=100568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473&amp;date=17.10.2023" TargetMode="External"/><Relationship Id="rId11" Type="http://schemas.openxmlformats.org/officeDocument/2006/relationships/hyperlink" Target="https://login.consultant.ru/link/?req=doc&amp;base=LAW&amp;n=436473&amp;date=17.10.2023&amp;dst=100075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6473&amp;date=17.10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473&amp;date=17.10.2023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6473&amp;date=17.10.2023" TargetMode="External"/><Relationship Id="rId14" Type="http://schemas.openxmlformats.org/officeDocument/2006/relationships/hyperlink" Target="https://login.consultant.ru/link/?req=doc&amp;base=LAW&amp;n=436473&amp;date=17.10.2023&amp;dst=100211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&lt;Информация&gt; Минтруда России"Основные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</vt:lpstr>
    </vt:vector>
  </TitlesOfParts>
  <Company>КонсультантПлюс Версия 4022.00.55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Минтруда России"Основные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</dc:title>
  <dc:subject/>
  <dc:creator>Милана</dc:creator>
  <cp:keywords/>
  <dc:description/>
  <cp:lastModifiedBy>Милана</cp:lastModifiedBy>
  <cp:revision>2</cp:revision>
  <dcterms:created xsi:type="dcterms:W3CDTF">2023-10-18T05:28:00Z</dcterms:created>
  <dcterms:modified xsi:type="dcterms:W3CDTF">2023-10-18T05:28:00Z</dcterms:modified>
</cp:coreProperties>
</file>